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59" w:rsidRPr="003E17F6" w:rsidRDefault="004A0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C59" w:rsidRPr="003E17F6" w:rsidRDefault="0076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61C59" w:rsidRPr="003E17F6" w:rsidRDefault="0076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b/>
          <w:sz w:val="24"/>
          <w:szCs w:val="24"/>
        </w:rPr>
        <w:t>по итогам пробного диагностического тестирования в формате ОГЭ  и ЕГЭ</w:t>
      </w:r>
    </w:p>
    <w:p w:rsidR="00261C59" w:rsidRDefault="0076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b/>
          <w:sz w:val="24"/>
          <w:szCs w:val="24"/>
        </w:rPr>
        <w:t>по математике, русскому языку выб</w:t>
      </w:r>
      <w:r w:rsidR="004E3856">
        <w:rPr>
          <w:rFonts w:ascii="Times New Roman" w:hAnsi="Times New Roman" w:cs="Times New Roman"/>
          <w:b/>
          <w:sz w:val="24"/>
          <w:szCs w:val="24"/>
        </w:rPr>
        <w:t>ору для учащихся 9 и 11 классов</w:t>
      </w:r>
    </w:p>
    <w:p w:rsidR="004E3856" w:rsidRPr="003E17F6" w:rsidRDefault="004E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уч.год.</w:t>
      </w:r>
      <w:bookmarkStart w:id="0" w:name="_GoBack"/>
      <w:bookmarkEnd w:id="0"/>
    </w:p>
    <w:p w:rsidR="00261C59" w:rsidRPr="003E17F6" w:rsidRDefault="00261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C59" w:rsidRPr="003E17F6" w:rsidRDefault="00764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tbl>
      <w:tblPr>
        <w:tblW w:w="1101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1010"/>
      </w:tblGrid>
      <w:tr w:rsidR="00261C59" w:rsidRPr="003E17F6">
        <w:trPr>
          <w:trHeight w:val="247"/>
        </w:trPr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C59" w:rsidRPr="003E17F6" w:rsidRDefault="0076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8619D0" w:rsidRPr="003E17F6">
              <w:rPr>
                <w:rFonts w:ascii="Times New Roman" w:hAnsi="Times New Roman" w:cs="Times New Roman"/>
                <w:sz w:val="24"/>
                <w:szCs w:val="24"/>
              </w:rPr>
              <w:t xml:space="preserve"> планом МКОУ «</w:t>
            </w:r>
            <w:proofErr w:type="spellStart"/>
            <w:r w:rsidR="008619D0" w:rsidRPr="003E17F6">
              <w:rPr>
                <w:rFonts w:ascii="Times New Roman" w:hAnsi="Times New Roman" w:cs="Times New Roman"/>
                <w:sz w:val="24"/>
                <w:szCs w:val="24"/>
              </w:rPr>
              <w:t>Герейхановская</w:t>
            </w:r>
            <w:proofErr w:type="spellEnd"/>
            <w:r w:rsidR="008619D0" w:rsidRPr="003E17F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E17F6">
              <w:rPr>
                <w:rFonts w:ascii="Times New Roman" w:hAnsi="Times New Roman" w:cs="Times New Roman"/>
                <w:sz w:val="24"/>
                <w:szCs w:val="24"/>
              </w:rPr>
              <w:t xml:space="preserve">Ш №2 </w:t>
            </w:r>
            <w:proofErr w:type="spellStart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.Дибирова</w:t>
            </w:r>
            <w:proofErr w:type="spellEnd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 xml:space="preserve">»  по  подготовке к государственной (итоговой) аттестации выпускников 9 и 11классов  «О проведении пробного диагностического тестирования в формате ОГЭ  и ЕГЭ для выпускников 9 и 11 классов», в целях подготовки выпускников  к сдаче государственной итоговой аттестации и отработки навыков работы с </w:t>
            </w:r>
            <w:proofErr w:type="spellStart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, обучающиеся 9 и 11 классов приняли участие в диагностическом тестировании по русскому языку, математике</w:t>
            </w:r>
            <w:proofErr w:type="gramStart"/>
            <w:r w:rsidRPr="003E17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61C59" w:rsidRPr="003E17F6" w:rsidRDefault="0026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C59" w:rsidRPr="003E17F6" w:rsidRDefault="0076498B">
            <w:pPr>
              <w:widowControl w:val="0"/>
              <w:tabs>
                <w:tab w:val="left" w:pos="267"/>
              </w:tabs>
              <w:spacing w:after="0" w:line="274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</w:p>
          <w:p w:rsidR="00261C59" w:rsidRPr="003E17F6" w:rsidRDefault="0076498B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</w:pPr>
            <w:r w:rsidRPr="003E17F6">
              <w:t>отработка процедуры проведения экзамена  в рамках ОГЭ и ЕГЭ;</w:t>
            </w:r>
          </w:p>
          <w:p w:rsidR="00261C59" w:rsidRPr="003E17F6" w:rsidRDefault="0076498B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</w:pPr>
            <w:r w:rsidRPr="003E17F6">
              <w:t>оценка уровня общеобразовательной подготовки выпускников школы по отдельным предметам;</w:t>
            </w:r>
          </w:p>
          <w:p w:rsidR="00261C59" w:rsidRPr="003E17F6" w:rsidRDefault="0076498B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</w:pPr>
            <w:r w:rsidRPr="003E17F6">
              <w:t>мониторинг качества подготовки обучающихся 9  и 11 классов к ОГЭ и ЕГЭ;</w:t>
            </w:r>
          </w:p>
          <w:p w:rsidR="00261C59" w:rsidRPr="003E17F6" w:rsidRDefault="0076498B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</w:pPr>
            <w:r w:rsidRPr="003E17F6">
              <w:t>тренировка учащихся в оформлении бланков регистрации и бланков ответов;</w:t>
            </w:r>
          </w:p>
          <w:p w:rsidR="0076498B" w:rsidRPr="003E17F6" w:rsidRDefault="0076498B" w:rsidP="00960114">
            <w:pPr>
              <w:pStyle w:val="1"/>
              <w:widowControl w:val="0"/>
              <w:tabs>
                <w:tab w:val="left" w:pos="267"/>
              </w:tabs>
              <w:spacing w:before="0" w:beforeAutospacing="0" w:after="0" w:afterAutospacing="0" w:line="274" w:lineRule="exact"/>
              <w:ind w:left="720"/>
              <w:jc w:val="both"/>
            </w:pPr>
            <w:r w:rsidRPr="003E17F6">
              <w:t>.</w:t>
            </w:r>
          </w:p>
          <w:p w:rsidR="00261C59" w:rsidRPr="003E17F6" w:rsidRDefault="0076498B">
            <w:pPr>
              <w:pStyle w:val="1"/>
              <w:widowControl w:val="0"/>
              <w:tabs>
                <w:tab w:val="left" w:pos="267"/>
              </w:tabs>
              <w:spacing w:before="0" w:beforeAutospacing="0" w:after="0" w:afterAutospacing="0" w:line="274" w:lineRule="exact"/>
              <w:ind w:left="720"/>
              <w:jc w:val="both"/>
            </w:pPr>
            <w:r w:rsidRPr="003E17F6">
              <w:t xml:space="preserve">   </w:t>
            </w:r>
          </w:p>
          <w:p w:rsidR="00261C59" w:rsidRPr="003E17F6" w:rsidRDefault="0076498B">
            <w:pPr>
              <w:widowControl w:val="0"/>
              <w:tabs>
                <w:tab w:val="left" w:pos="267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Pr="003E17F6">
              <w:rPr>
                <w:rFonts w:ascii="Times New Roman" w:hAnsi="Times New Roman" w:cs="Times New Roman"/>
                <w:sz w:val="24"/>
                <w:szCs w:val="24"/>
              </w:rPr>
              <w:t>В данном мероприятии приняли участие все 9 и 11  классов. При проведении пробного тестирования все участники руководствовались инструкцией  по проведению основного государственно экзамена, полностью соблюдалась процедура его проведения, каждым учеником была отработана методика заполнения бланка регистрации, бланков ответов №1, №2. При проведении экзамена использовались контрольные измерительные материалы, находящиеся в открытом доступе на сайте ФИПИ.</w:t>
            </w:r>
          </w:p>
          <w:p w:rsidR="00960114" w:rsidRPr="003E17F6" w:rsidRDefault="004A0EA5" w:rsidP="004A0E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61C59" w:rsidRPr="003E17F6" w:rsidRDefault="00261C59" w:rsidP="00A52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61C59" w:rsidRPr="003E17F6" w:rsidRDefault="00261C59" w:rsidP="00A52094">
      <w:pPr>
        <w:rPr>
          <w:rFonts w:ascii="Times New Roman" w:hAnsi="Times New Roman" w:cs="Times New Roman"/>
          <w:b/>
          <w:sz w:val="24"/>
          <w:szCs w:val="24"/>
        </w:rPr>
      </w:pPr>
    </w:p>
    <w:p w:rsidR="00312494" w:rsidRPr="003E17F6" w:rsidRDefault="00312494" w:rsidP="00312494">
      <w:pPr>
        <w:tabs>
          <w:tab w:val="left" w:pos="4620"/>
        </w:tabs>
        <w:spacing w:after="0" w:line="240" w:lineRule="auto"/>
        <w:ind w:left="46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:rsidR="00312494" w:rsidRPr="003E17F6" w:rsidRDefault="00312494" w:rsidP="00312494">
      <w:pPr>
        <w:spacing w:after="0" w:line="1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2494" w:rsidRPr="003E17F6" w:rsidRDefault="00312494" w:rsidP="00312494">
      <w:pPr>
        <w:spacing w:after="0" w:line="235" w:lineRule="auto"/>
        <w:ind w:left="360" w:right="42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экзаменуемый</w:t>
      </w:r>
      <w:proofErr w:type="gramEnd"/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всей экзаменационной работы, – 32 балла. Из них – за модуль «Алгебра» – 20 баллов, за модуль «Геометрия» – 12 баллов.</w:t>
      </w:r>
    </w:p>
    <w:p w:rsidR="00312494" w:rsidRPr="003E17F6" w:rsidRDefault="00312494" w:rsidP="00312494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2494" w:rsidRPr="003E17F6" w:rsidRDefault="00312494" w:rsidP="00312494">
      <w:pPr>
        <w:spacing w:after="0" w:line="237" w:lineRule="auto"/>
        <w:ind w:left="360" w:right="4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«Математика», – 8 баллов, набранные в сумме за выполнение заданий обоих модулей, при условии, что из них не менее 2 баллов получено по модулю «Геометрия».</w:t>
      </w:r>
    </w:p>
    <w:tbl>
      <w:tblPr>
        <w:tblW w:w="15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2007"/>
        <w:gridCol w:w="3766"/>
        <w:gridCol w:w="2655"/>
        <w:gridCol w:w="2624"/>
        <w:gridCol w:w="2377"/>
        <w:gridCol w:w="2470"/>
      </w:tblGrid>
      <w:tr w:rsidR="00312494" w:rsidRPr="003E17F6" w:rsidTr="006D668C">
        <w:trPr>
          <w:trHeight w:val="333"/>
        </w:trPr>
        <w:tc>
          <w:tcPr>
            <w:tcW w:w="31" w:type="dxa"/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9" w:type="dxa"/>
            <w:gridSpan w:val="5"/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Шкала пересчета суммарного балла за выполнение</w:t>
            </w:r>
          </w:p>
        </w:tc>
        <w:tc>
          <w:tcPr>
            <w:tcW w:w="2470" w:type="dxa"/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94" w:rsidRPr="003E17F6" w:rsidTr="006D668C">
        <w:trPr>
          <w:trHeight w:val="329"/>
        </w:trPr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9" w:type="dxa"/>
            <w:gridSpan w:val="5"/>
            <w:tcBorders>
              <w:bottom w:val="single" w:sz="8" w:space="0" w:color="auto"/>
            </w:tcBorders>
            <w:vAlign w:val="bottom"/>
          </w:tcPr>
          <w:p w:rsidR="00312494" w:rsidRDefault="00312494" w:rsidP="005E329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экзаменационной работы в целом в отметку по математике</w:t>
            </w:r>
          </w:p>
          <w:p w:rsidR="005E3296" w:rsidRDefault="005E3296" w:rsidP="005E329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3296" w:rsidRPr="003E17F6" w:rsidRDefault="005E3296" w:rsidP="005E3296">
            <w:pPr>
              <w:spacing w:after="0" w:line="240" w:lineRule="auto"/>
              <w:ind w:left="1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bottom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94" w:rsidRPr="003E17F6" w:rsidTr="006D668C">
        <w:trPr>
          <w:trHeight w:val="310"/>
        </w:trPr>
        <w:tc>
          <w:tcPr>
            <w:tcW w:w="580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63" w:lineRule="exact"/>
              <w:ind w:left="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Отметка по </w:t>
            </w:r>
            <w:proofErr w:type="gramStart"/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пятибалльной</w:t>
            </w:r>
            <w:proofErr w:type="gramEnd"/>
          </w:p>
        </w:tc>
        <w:tc>
          <w:tcPr>
            <w:tcW w:w="2655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624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ind w:right="5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377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ind w:right="4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70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ind w:right="517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312494" w:rsidRPr="003E17F6" w:rsidTr="006D668C">
        <w:trPr>
          <w:trHeight w:val="162"/>
        </w:trPr>
        <w:tc>
          <w:tcPr>
            <w:tcW w:w="2038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</w:p>
        </w:tc>
        <w:tc>
          <w:tcPr>
            <w:tcW w:w="3766" w:type="dxa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Merge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vMerge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vMerge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94" w:rsidRPr="003E17F6" w:rsidTr="006D668C">
        <w:trPr>
          <w:trHeight w:val="168"/>
        </w:trPr>
        <w:tc>
          <w:tcPr>
            <w:tcW w:w="203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94" w:rsidRPr="003E17F6" w:rsidTr="006D668C">
        <w:trPr>
          <w:trHeight w:val="316"/>
        </w:trPr>
        <w:tc>
          <w:tcPr>
            <w:tcW w:w="580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67" w:lineRule="exact"/>
              <w:ind w:left="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Суммарный балл за работу </w:t>
            </w:r>
            <w:proofErr w:type="gramStart"/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655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 – 7</w:t>
            </w:r>
          </w:p>
        </w:tc>
        <w:tc>
          <w:tcPr>
            <w:tcW w:w="2624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 – 14</w:t>
            </w:r>
          </w:p>
        </w:tc>
        <w:tc>
          <w:tcPr>
            <w:tcW w:w="2377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 – 21</w:t>
            </w:r>
          </w:p>
        </w:tc>
        <w:tc>
          <w:tcPr>
            <w:tcW w:w="2470" w:type="dxa"/>
            <w:vMerge w:val="restart"/>
            <w:tcBorders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22 – 32</w:t>
            </w:r>
          </w:p>
        </w:tc>
      </w:tr>
      <w:tr w:rsidR="00312494" w:rsidRPr="003E17F6" w:rsidTr="006D668C">
        <w:trPr>
          <w:trHeight w:val="158"/>
        </w:trPr>
        <w:tc>
          <w:tcPr>
            <w:tcW w:w="203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ind w:left="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целом</w:t>
            </w:r>
            <w:proofErr w:type="gramEnd"/>
          </w:p>
        </w:tc>
        <w:tc>
          <w:tcPr>
            <w:tcW w:w="376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12494" w:rsidRPr="003E17F6" w:rsidRDefault="00312494" w:rsidP="005E329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296" w:rsidRDefault="005E3296" w:rsidP="004A0E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296" w:rsidRPr="003E17F6" w:rsidRDefault="005E3296" w:rsidP="005E329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E3296" w:rsidRPr="003E17F6" w:rsidRDefault="005E3296" w:rsidP="005E3296">
      <w:pPr>
        <w:rPr>
          <w:rFonts w:ascii="Times New Roman" w:hAnsi="Times New Roman" w:cs="Times New Roman"/>
          <w:b/>
          <w:sz w:val="24"/>
          <w:szCs w:val="24"/>
        </w:rPr>
      </w:pPr>
    </w:p>
    <w:p w:rsidR="00E55708" w:rsidRPr="003E17F6" w:rsidRDefault="00E55708" w:rsidP="00E557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08" w:rsidRPr="003E17F6" w:rsidRDefault="00E55708" w:rsidP="00E55708">
      <w:pPr>
        <w:tabs>
          <w:tab w:val="left" w:pos="4520"/>
        </w:tabs>
        <w:spacing w:after="0" w:line="240" w:lineRule="auto"/>
        <w:ind w:left="4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2.РУССКИЙ ЯЗЫК</w:t>
      </w:r>
    </w:p>
    <w:p w:rsidR="00E55708" w:rsidRPr="003E17F6" w:rsidRDefault="00E55708" w:rsidP="00E55708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5708" w:rsidRPr="003E17F6" w:rsidRDefault="00E55708" w:rsidP="00E55708">
      <w:pPr>
        <w:spacing w:after="0" w:line="234" w:lineRule="auto"/>
        <w:ind w:left="360" w:right="420"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экзаменуемый</w:t>
      </w:r>
      <w:proofErr w:type="gramEnd"/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всей экзаменационной работы, – 39 баллов.</w:t>
      </w:r>
    </w:p>
    <w:tbl>
      <w:tblPr>
        <w:tblW w:w="1600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90"/>
        <w:gridCol w:w="1597"/>
        <w:gridCol w:w="1656"/>
        <w:gridCol w:w="4880"/>
        <w:gridCol w:w="4938"/>
      </w:tblGrid>
      <w:tr w:rsidR="00E55708" w:rsidRPr="003E17F6" w:rsidTr="00510165">
        <w:trPr>
          <w:trHeight w:val="336"/>
        </w:trPr>
        <w:tc>
          <w:tcPr>
            <w:tcW w:w="2643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ind w:left="18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Таблица 1</w:t>
            </w:r>
          </w:p>
        </w:tc>
      </w:tr>
      <w:tr w:rsidR="00E55708" w:rsidRPr="003E17F6" w:rsidTr="00510165">
        <w:trPr>
          <w:trHeight w:val="346"/>
        </w:trPr>
        <w:tc>
          <w:tcPr>
            <w:tcW w:w="2643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0" w:type="dxa"/>
            <w:gridSpan w:val="4"/>
            <w:vAlign w:val="bottom"/>
          </w:tcPr>
          <w:p w:rsidR="00E55708" w:rsidRPr="003E17F6" w:rsidRDefault="00E55708" w:rsidP="00DF6E0A">
            <w:pPr>
              <w:spacing w:after="0" w:line="240" w:lineRule="auto"/>
              <w:ind w:right="19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Шкала пересчета первичного балла за выполнение</w:t>
            </w:r>
          </w:p>
        </w:tc>
      </w:tr>
      <w:tr w:rsidR="00E55708" w:rsidRPr="003E17F6" w:rsidTr="00510165">
        <w:trPr>
          <w:trHeight w:val="336"/>
        </w:trPr>
        <w:tc>
          <w:tcPr>
            <w:tcW w:w="2643" w:type="dxa"/>
            <w:tcBorders>
              <w:bottom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1" w:type="dxa"/>
            <w:gridSpan w:val="5"/>
            <w:tcBorders>
              <w:bottom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7" w:lineRule="exact"/>
              <w:ind w:right="17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экзаменационной работы в отметку по пятибалльной шкале</w:t>
            </w:r>
          </w:p>
        </w:tc>
      </w:tr>
      <w:tr w:rsidR="00E55708" w:rsidRPr="003E17F6" w:rsidTr="00510165">
        <w:trPr>
          <w:trHeight w:val="324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88" w:lineRule="exact"/>
              <w:ind w:left="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Отметка </w:t>
            </w:r>
            <w:proofErr w:type="gramStart"/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08" w:rsidRPr="003E17F6" w:rsidTr="00510165">
        <w:trPr>
          <w:trHeight w:val="337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пятибалльной</w:t>
            </w: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ind w:right="23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ind w:right="25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E55708" w:rsidRPr="003E17F6" w:rsidTr="00510165">
        <w:trPr>
          <w:trHeight w:val="336"/>
        </w:trPr>
        <w:tc>
          <w:tcPr>
            <w:tcW w:w="26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7" w:lineRule="exact"/>
              <w:ind w:left="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</w:p>
        </w:tc>
        <w:tc>
          <w:tcPr>
            <w:tcW w:w="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08" w:rsidRPr="003E17F6" w:rsidTr="00510165">
        <w:trPr>
          <w:trHeight w:val="324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88" w:lineRule="exact"/>
              <w:ind w:left="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0 – 14</w:t>
            </w: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 – 24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25 – 33,</w:t>
            </w:r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 – 39,</w:t>
            </w:r>
          </w:p>
        </w:tc>
      </w:tr>
      <w:tr w:rsidR="00E55708" w:rsidRPr="003E17F6" w:rsidTr="00510165">
        <w:trPr>
          <w:trHeight w:val="326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не менее 4 баллов </w:t>
            </w:r>
            <w:proofErr w:type="gramStart"/>
            <w:r w:rsidRPr="003E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из них не менее 6 баллов </w:t>
            </w:r>
            <w:proofErr w:type="gramStart"/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</w:t>
            </w:r>
            <w:proofErr w:type="gramEnd"/>
          </w:p>
        </w:tc>
      </w:tr>
      <w:tr w:rsidR="00E55708" w:rsidRPr="003E17F6" w:rsidTr="00510165">
        <w:trPr>
          <w:trHeight w:val="337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грамотность (по критериям</w:t>
            </w:r>
            <w:proofErr w:type="gramEnd"/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грамотность (по критериям</w:t>
            </w:r>
            <w:proofErr w:type="gramEnd"/>
          </w:p>
        </w:tc>
      </w:tr>
      <w:tr w:rsidR="00E55708" w:rsidRPr="003E17F6" w:rsidTr="00510165">
        <w:trPr>
          <w:trHeight w:val="337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ГК1–ГК4).</w:t>
            </w:r>
            <w:proofErr w:type="gramEnd"/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ГК1–ГК4).</w:t>
            </w:r>
            <w:proofErr w:type="gramEnd"/>
          </w:p>
        </w:tc>
      </w:tr>
      <w:tr w:rsidR="00E55708" w:rsidRPr="003E17F6" w:rsidTr="00510165">
        <w:trPr>
          <w:trHeight w:val="335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Если по критериям ГК1–ГК4</w:t>
            </w:r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Если по критериям ГК1–ГК4</w:t>
            </w:r>
          </w:p>
        </w:tc>
      </w:tr>
      <w:tr w:rsidR="00E55708" w:rsidRPr="003E17F6" w:rsidTr="00510165">
        <w:trPr>
          <w:trHeight w:val="338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обучающийся набрал менее</w:t>
            </w:r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обучающийся набрал менее 6</w:t>
            </w:r>
          </w:p>
        </w:tc>
      </w:tr>
      <w:tr w:rsidR="00E55708" w:rsidRPr="003E17F6" w:rsidTr="00510165">
        <w:trPr>
          <w:trHeight w:val="335"/>
        </w:trPr>
        <w:tc>
          <w:tcPr>
            <w:tcW w:w="2643" w:type="dxa"/>
            <w:tcBorders>
              <w:lef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 баллов, выставляется</w:t>
            </w:r>
          </w:p>
        </w:tc>
        <w:tc>
          <w:tcPr>
            <w:tcW w:w="4938" w:type="dxa"/>
            <w:tcBorders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баллов, выставляется отметка</w:t>
            </w:r>
          </w:p>
        </w:tc>
      </w:tr>
      <w:tr w:rsidR="00E55708" w:rsidRPr="003E17F6" w:rsidTr="00510165">
        <w:trPr>
          <w:trHeight w:val="343"/>
        </w:trPr>
        <w:tc>
          <w:tcPr>
            <w:tcW w:w="26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«3».</w:t>
            </w:r>
          </w:p>
        </w:tc>
        <w:tc>
          <w:tcPr>
            <w:tcW w:w="49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3E17F6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«4».</w:t>
            </w:r>
          </w:p>
        </w:tc>
      </w:tr>
    </w:tbl>
    <w:p w:rsidR="00E55708" w:rsidRPr="003E17F6" w:rsidRDefault="00E55708" w:rsidP="00E55708">
      <w:pPr>
        <w:spacing w:after="0" w:line="18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02DD0" w:rsidRDefault="00102DD0" w:rsidP="00102DD0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102DD0" w:rsidRPr="003E17F6" w:rsidRDefault="00102DD0" w:rsidP="00102D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7F6">
        <w:rPr>
          <w:rFonts w:ascii="Times New Roman" w:eastAsia="Calibri" w:hAnsi="Times New Roman" w:cs="Times New Roman"/>
          <w:b/>
          <w:sz w:val="24"/>
          <w:szCs w:val="24"/>
        </w:rPr>
        <w:t>Результат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ы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пробного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ОГЭ по русскому языку  (15.12</w:t>
      </w:r>
      <w:r w:rsidRPr="003E17F6">
        <w:rPr>
          <w:rFonts w:ascii="Times New Roman" w:eastAsia="Calibri" w:hAnsi="Times New Roman" w:cs="Times New Roman"/>
          <w:b/>
          <w:sz w:val="24"/>
          <w:szCs w:val="24"/>
        </w:rPr>
        <w:t>.2018)</w:t>
      </w:r>
    </w:p>
    <w:p w:rsidR="00102DD0" w:rsidRPr="003E17F6" w:rsidRDefault="00102DD0" w:rsidP="00102DD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02DD0" w:rsidRDefault="00102DD0" w:rsidP="00102DD0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102DD0" w:rsidRPr="003E17F6" w:rsidRDefault="00102DD0" w:rsidP="00102DD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E3296" w:rsidRDefault="005E3296" w:rsidP="004A0E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296" w:rsidRPr="003E17F6" w:rsidRDefault="005E3296" w:rsidP="004A0EA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0114" w:rsidRPr="003E17F6" w:rsidRDefault="00960114" w:rsidP="006637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2735" w:rsidRDefault="00482A2C" w:rsidP="00222735">
      <w:pPr>
        <w:pStyle w:val="af0"/>
        <w:shd w:val="clear" w:color="auto" w:fill="FBFBFB"/>
        <w:spacing w:before="0" w:beforeAutospacing="0" w:after="150" w:afterAutospacing="0"/>
        <w:ind w:firstLine="375"/>
        <w:jc w:val="both"/>
        <w:rPr>
          <w:rFonts w:ascii="Arial" w:hAnsi="Arial" w:cs="Arial"/>
          <w:color w:val="333333"/>
          <w:sz w:val="26"/>
          <w:szCs w:val="26"/>
        </w:rPr>
      </w:pPr>
      <w:r w:rsidRPr="003E17F6">
        <w:rPr>
          <w:b/>
          <w:bCs/>
        </w:rPr>
        <w:t>2.РУССКИЙ ЯЗЫК</w:t>
      </w:r>
      <w:r w:rsidR="00222735" w:rsidRPr="00222735">
        <w:rPr>
          <w:rFonts w:ascii="Arial" w:hAnsi="Arial" w:cs="Arial"/>
          <w:color w:val="333333"/>
          <w:sz w:val="26"/>
          <w:szCs w:val="26"/>
        </w:rPr>
        <w:t xml:space="preserve"> </w:t>
      </w:r>
    </w:p>
    <w:p w:rsidR="00222735" w:rsidRDefault="00222735" w:rsidP="00222735">
      <w:pPr>
        <w:pStyle w:val="af0"/>
        <w:shd w:val="clear" w:color="auto" w:fill="FBFBFB"/>
        <w:spacing w:before="0" w:beforeAutospacing="0" w:after="150" w:afterAutospacing="0"/>
        <w:ind w:firstLine="375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Порог для получения аттестата по русскому языку - это 10 полученных первичных баллов на ЕГЭ. В таблице нижний порог для получения аттестата обозначен зеленой линией. При этом во вторичном балле, согласно шкале перевода, школьник, успешно прошедший аттестацию, должен набрать, как минимум, 24 балла.</w:t>
      </w:r>
    </w:p>
    <w:p w:rsidR="00222735" w:rsidRDefault="00222735" w:rsidP="00222735">
      <w:pPr>
        <w:pStyle w:val="af0"/>
        <w:shd w:val="clear" w:color="auto" w:fill="FBFBFB"/>
        <w:spacing w:before="0" w:beforeAutospacing="0" w:after="150" w:afterAutospacing="0"/>
        <w:ind w:firstLine="375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Следует учесть, что порог для поступления в ВУЗ по ЕГЭ в 2019 году, где одним из предметов, является русский язык - это 16 первичных баллов и 36 вторичных соответственно. В шкале перевода этот порог обозначен красной линией. Таким образом, школьник, показавший низкий результат на ЕГЭ по русскому языку, но получивший аттестат, не всегда может претендовать на поступление в высшее учебное заведение по ЕГЭ.</w:t>
      </w:r>
    </w:p>
    <w:p w:rsidR="00482A2C" w:rsidRPr="003E17F6" w:rsidRDefault="00482A2C" w:rsidP="00482A2C">
      <w:pPr>
        <w:tabs>
          <w:tab w:val="left" w:pos="4520"/>
        </w:tabs>
        <w:spacing w:after="0" w:line="240" w:lineRule="auto"/>
        <w:ind w:left="4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A2C" w:rsidRPr="003E17F6" w:rsidRDefault="00482A2C" w:rsidP="00482A2C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A2C" w:rsidRPr="003E17F6" w:rsidRDefault="00482A2C" w:rsidP="00482A2C">
      <w:pPr>
        <w:spacing w:after="0" w:line="234" w:lineRule="auto"/>
        <w:ind w:left="360" w:right="420"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экзаменуемый за выполнение в</w:t>
      </w:r>
      <w:r w:rsidR="00584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экзаменационной работы, – 100</w:t>
      </w: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баллов.</w:t>
      </w:r>
      <w:proofErr w:type="gramStart"/>
      <w:r w:rsidR="00584D25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="00584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</w:t>
      </w:r>
      <w:proofErr w:type="spellEnd"/>
      <w:r w:rsidR="0058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  36 баллов.</w:t>
      </w:r>
    </w:p>
    <w:tbl>
      <w:tblPr>
        <w:tblW w:w="1576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86"/>
        <w:gridCol w:w="1573"/>
        <w:gridCol w:w="1630"/>
        <w:gridCol w:w="4805"/>
        <w:gridCol w:w="4864"/>
      </w:tblGrid>
      <w:tr w:rsidR="00482A2C" w:rsidRPr="003E17F6" w:rsidTr="006973DD">
        <w:trPr>
          <w:trHeight w:val="330"/>
        </w:trPr>
        <w:tc>
          <w:tcPr>
            <w:tcW w:w="2603" w:type="dxa"/>
            <w:vAlign w:val="bottom"/>
          </w:tcPr>
          <w:p w:rsidR="00482A2C" w:rsidRPr="003E17F6" w:rsidRDefault="00482A2C" w:rsidP="00482A2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482A2C" w:rsidRPr="003E17F6" w:rsidRDefault="00482A2C" w:rsidP="00482A2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Align w:val="bottom"/>
          </w:tcPr>
          <w:p w:rsidR="00482A2C" w:rsidRPr="003E17F6" w:rsidRDefault="00482A2C" w:rsidP="00482A2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vAlign w:val="bottom"/>
          </w:tcPr>
          <w:p w:rsidR="00482A2C" w:rsidRPr="003E17F6" w:rsidRDefault="00482A2C" w:rsidP="00482A2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Align w:val="bottom"/>
          </w:tcPr>
          <w:p w:rsidR="00482A2C" w:rsidRPr="003E17F6" w:rsidRDefault="00482A2C" w:rsidP="00482A2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4" w:type="dxa"/>
            <w:vAlign w:val="bottom"/>
          </w:tcPr>
          <w:p w:rsidR="00482A2C" w:rsidRPr="003E17F6" w:rsidRDefault="00482A2C" w:rsidP="00482A2C">
            <w:pPr>
              <w:spacing w:after="0" w:line="240" w:lineRule="auto"/>
              <w:ind w:left="18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7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Таблица 1</w:t>
            </w:r>
          </w:p>
        </w:tc>
      </w:tr>
    </w:tbl>
    <w:p w:rsidR="00AA6E66" w:rsidRDefault="00AA6E66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AA6E66" w:rsidRDefault="00AA6E66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Pr="003E17F6" w:rsidRDefault="008E5F6B" w:rsidP="008E5F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7F6">
        <w:rPr>
          <w:rFonts w:ascii="Times New Roman" w:eastAsia="Calibri" w:hAnsi="Times New Roman" w:cs="Times New Roman"/>
          <w:b/>
          <w:sz w:val="24"/>
          <w:szCs w:val="24"/>
        </w:rPr>
        <w:t>Результат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ы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пробного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ОГЭ по русскому языку  </w:t>
      </w:r>
      <w:r w:rsidR="00DB7124">
        <w:rPr>
          <w:rFonts w:ascii="Times New Roman" w:eastAsia="Calibri" w:hAnsi="Times New Roman" w:cs="Times New Roman"/>
          <w:b/>
          <w:sz w:val="24"/>
          <w:szCs w:val="24"/>
        </w:rPr>
        <w:t>(15.12</w:t>
      </w:r>
      <w:r w:rsidRPr="003E17F6">
        <w:rPr>
          <w:rFonts w:ascii="Times New Roman" w:eastAsia="Calibri" w:hAnsi="Times New Roman" w:cs="Times New Roman"/>
          <w:b/>
          <w:sz w:val="24"/>
          <w:szCs w:val="24"/>
        </w:rPr>
        <w:t>.2018)</w:t>
      </w:r>
    </w:p>
    <w:p w:rsidR="008E5F6B" w:rsidRPr="003E17F6" w:rsidRDefault="008E5F6B" w:rsidP="008E5F6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6E66" w:rsidRDefault="00AA6E66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AA6E66" w:rsidRPr="003E17F6" w:rsidRDefault="00AA6E66" w:rsidP="00AA6E6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8E5F6B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Pr="003E17F6" w:rsidRDefault="00DB7124" w:rsidP="008E5F6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По математике ОГЭ 22.12.18</w:t>
      </w: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8E5F6B" w:rsidRDefault="008E5F6B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</w:t>
      </w:r>
      <w:r w:rsidR="00DB7124">
        <w:rPr>
          <w:rFonts w:ascii="Times New Roman" w:hAnsi="Times New Roman" w:cs="Times New Roman"/>
          <w:sz w:val="24"/>
          <w:szCs w:val="24"/>
        </w:rPr>
        <w:t>о математике ЕГЭ  22.12.2018</w:t>
      </w:r>
    </w:p>
    <w:p w:rsidR="006973DD" w:rsidRPr="006973DD" w:rsidRDefault="006973DD" w:rsidP="006973DD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Приведенная ниже шкала отражает только примерную картину перевода, но является самой актуальной </w:t>
      </w:r>
      <w:proofErr w:type="gramStart"/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</w:t>
      </w:r>
      <w:proofErr w:type="gramEnd"/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текущей</w:t>
      </w:r>
      <w:proofErr w:type="gramEnd"/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момент таблицей перевода баллов ЕГЭ 2019 по математике.</w:t>
      </w:r>
    </w:p>
    <w:p w:rsidR="006973DD" w:rsidRPr="006973DD" w:rsidRDefault="006973DD" w:rsidP="006973DD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Данные составлены на основе прошедшего единого государственного экзамена за прошлый учебный год.</w:t>
      </w:r>
    </w:p>
    <w:p w:rsidR="006973DD" w:rsidRPr="006973DD" w:rsidRDefault="006973DD" w:rsidP="006973DD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 базового ЕГЭ, красная линия означает минимальный порог для сдачи, получения аттестата. Т.е. для того, чтобы получить аттестат и сдать базу на тройку, школьнику необходимо минимум набрать 7 первичных баллов из 20. Отличный результат начинается с 17 верно выполненных тестовых заданий.</w:t>
      </w:r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 </w:t>
      </w:r>
    </w:p>
    <w:tbl>
      <w:tblPr>
        <w:tblW w:w="0" w:type="auto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100"/>
      </w:tblGrid>
      <w:tr w:rsidR="006973DD" w:rsidRPr="006973DD" w:rsidTr="006973DD">
        <w:tc>
          <w:tcPr>
            <w:tcW w:w="2100" w:type="dxa"/>
            <w:shd w:val="clear" w:color="auto" w:fill="8A1616"/>
            <w:tcMar>
              <w:top w:w="75" w:type="dxa"/>
              <w:left w:w="150" w:type="dxa"/>
              <w:bottom w:w="75" w:type="dxa"/>
              <w:right w:w="0" w:type="dxa"/>
            </w:tcMar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00" w:type="dxa"/>
            <w:shd w:val="clear" w:color="auto" w:fill="8A1616"/>
            <w:tcMar>
              <w:top w:w="75" w:type="dxa"/>
              <w:left w:w="150" w:type="dxa"/>
              <w:bottom w:w="75" w:type="dxa"/>
              <w:right w:w="0" w:type="dxa"/>
            </w:tcMar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Баллы</w:t>
            </w:r>
          </w:p>
        </w:tc>
      </w:tr>
      <w:tr w:rsidR="006973DD" w:rsidRPr="006973DD" w:rsidTr="006973DD">
        <w:tc>
          <w:tcPr>
            <w:tcW w:w="0" w:type="auto"/>
            <w:shd w:val="clear" w:color="auto" w:fill="FF99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99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0-6</w:t>
            </w:r>
          </w:p>
        </w:tc>
      </w:tr>
      <w:tr w:rsidR="006973DD" w:rsidRPr="006973DD" w:rsidTr="006973DD">
        <w:tc>
          <w:tcPr>
            <w:tcW w:w="0" w:type="auto"/>
            <w:tcBorders>
              <w:top w:val="single" w:sz="12" w:space="0" w:color="FF0000"/>
            </w:tcBorders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FF0000"/>
            </w:tcBorders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7-11</w:t>
            </w:r>
          </w:p>
        </w:tc>
      </w:tr>
      <w:tr w:rsidR="006973DD" w:rsidRPr="006973DD" w:rsidTr="006973DD"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12-16</w:t>
            </w:r>
          </w:p>
        </w:tc>
      </w:tr>
      <w:tr w:rsidR="006973DD" w:rsidRPr="006973DD" w:rsidTr="006973DD"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6973DD" w:rsidRPr="006973DD" w:rsidRDefault="006973DD" w:rsidP="006973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973D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17-20</w:t>
            </w:r>
          </w:p>
        </w:tc>
      </w:tr>
    </w:tbl>
    <w:p w:rsidR="006973DD" w:rsidRPr="006973DD" w:rsidRDefault="006973DD" w:rsidP="006973DD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6973DD" w:rsidRPr="006973DD" w:rsidRDefault="006973DD" w:rsidP="006973DD">
      <w:pPr>
        <w:shd w:val="clear" w:color="auto" w:fill="FBFBFB"/>
        <w:spacing w:after="150" w:line="240" w:lineRule="auto"/>
        <w:ind w:firstLine="37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 перевода во вторичный балл профильного ЕГЭ по математике существуют специальные формулы. Красная линия обозначает нижний порог для сдачи профильного экзамена. При этом</w:t>
      </w:r>
      <w:proofErr w:type="gramStart"/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</w:t>
      </w:r>
      <w:proofErr w:type="gramEnd"/>
      <w:r w:rsidRPr="006973D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если школьником был сдан базовый экзамен по математике как минимум на три, но не сдан профильный, возможность пересдачи профильного экзамена отсутствует. </w:t>
      </w:r>
    </w:p>
    <w:p w:rsidR="008E5F6B" w:rsidRDefault="008E5F6B" w:rsidP="008E5F6B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DB7124" w:rsidRDefault="00DB7124" w:rsidP="00DB7124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По русскому языку  ЕГЭ  22.12.2018</w:t>
      </w:r>
    </w:p>
    <w:p w:rsidR="00DB7124" w:rsidRDefault="00DB7124" w:rsidP="00DB7124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p w:rsidR="00102DD0" w:rsidRPr="003E17F6" w:rsidRDefault="00102DD0" w:rsidP="00102D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102DD0" w:rsidRPr="003E17F6" w:rsidRDefault="00102DD0" w:rsidP="00102DD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ЕГЭ больше внимания уделять анализу текстов различных стилей и типов речи.</w:t>
      </w:r>
    </w:p>
    <w:p w:rsidR="00102DD0" w:rsidRPr="003E17F6" w:rsidRDefault="00102DD0" w:rsidP="00102DD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орфографические и пунктуационные навыки учащихся.</w:t>
      </w:r>
    </w:p>
    <w:p w:rsidR="00102DD0" w:rsidRPr="003E17F6" w:rsidRDefault="00102DD0" w:rsidP="00102DD0">
      <w:pPr>
        <w:tabs>
          <w:tab w:val="left" w:pos="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       3.  С </w:t>
      </w:r>
      <w:proofErr w:type="gramStart"/>
      <w:r w:rsidRPr="003E17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E17F6">
        <w:rPr>
          <w:rFonts w:ascii="Times New Roman" w:hAnsi="Times New Roman" w:cs="Times New Roman"/>
          <w:sz w:val="24"/>
          <w:szCs w:val="24"/>
        </w:rPr>
        <w:t xml:space="preserve"> 11 классов проводить работу в следующих направлениях: </w:t>
      </w:r>
    </w:p>
    <w:p w:rsidR="00102DD0" w:rsidRPr="003E17F6" w:rsidRDefault="00102DD0" w:rsidP="00102DD0">
      <w:pPr>
        <w:tabs>
          <w:tab w:val="left" w:pos="5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02DD0" w:rsidRPr="003E17F6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b/>
          <w:sz w:val="24"/>
          <w:szCs w:val="24"/>
        </w:rPr>
        <w:t xml:space="preserve">В работе над сочинением: </w:t>
      </w:r>
    </w:p>
    <w:p w:rsidR="00102DD0" w:rsidRPr="003E17F6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1. Учиться выявлять в тексте проблемы, выделять главную и формулировать её. </w:t>
      </w:r>
    </w:p>
    <w:p w:rsidR="00102DD0" w:rsidRPr="003E17F6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2. Учиться </w:t>
      </w:r>
      <w:proofErr w:type="gramStart"/>
      <w:r w:rsidRPr="003E17F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3E17F6">
        <w:rPr>
          <w:rFonts w:ascii="Times New Roman" w:hAnsi="Times New Roman" w:cs="Times New Roman"/>
          <w:sz w:val="24"/>
          <w:szCs w:val="24"/>
        </w:rPr>
        <w:t xml:space="preserve"> комментировать формулировать проблему; </w:t>
      </w:r>
    </w:p>
    <w:p w:rsidR="00102DD0" w:rsidRPr="003E17F6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3. Учиться приводить аргументы по различным проблемам; </w:t>
      </w:r>
    </w:p>
    <w:p w:rsidR="00102DD0" w:rsidRPr="003E17F6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4. Повторить речевые нормы русского языка. </w:t>
      </w:r>
    </w:p>
    <w:p w:rsidR="00102DD0" w:rsidRPr="003E17F6" w:rsidRDefault="00102DD0" w:rsidP="00102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02DD0" w:rsidRPr="003E17F6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 Учителям-предметникам  Гасановой А.Х.,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Абакаровой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З.Ш.,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Герехановой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И.М.,Керимову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С.Р</w:t>
      </w:r>
      <w:proofErr w:type="gramStart"/>
      <w:r w:rsidRPr="003E17F6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3E17F6">
        <w:rPr>
          <w:rFonts w:ascii="Times New Roman" w:hAnsi="Times New Roman" w:cs="Times New Roman"/>
          <w:sz w:val="24"/>
          <w:szCs w:val="24"/>
        </w:rPr>
        <w:t>буевой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Э.Н.,Магомедовой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Д.В.взять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под контроль вопрос подготовки обучающихся к ОГЭ и ЕГЭ, работать согласно  плану по ликвидации пробелов в знаниях, чаще работать с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с заполнением ответов в специальных бланков через урочную и внеурочную деятельность. </w:t>
      </w:r>
    </w:p>
    <w:p w:rsidR="00102DD0" w:rsidRPr="003E17F6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Алиметовой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Р.А. и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КадировоЙ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А.М. довести результаты пробных тестирований до сведения учащихся  и их родителей на родительских  собраниях.</w:t>
      </w:r>
    </w:p>
    <w:p w:rsidR="00102DD0" w:rsidRPr="003E17F6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Абуевой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Э.Н., заместителю директора по УВР и классным руководителям  провести индивидуальные беседы с учащимися, не справившимся с пробным тестированием по предметам и их родителями.</w:t>
      </w:r>
    </w:p>
    <w:p w:rsidR="00102DD0" w:rsidRPr="003E17F6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Всем учителям – предметникам определить индивидуально для каждого учащегося перечень тем, по которым у них есть хоть малейшие продвижения, и работать над их развитием, спланировать индивидуальную работу с </w:t>
      </w:r>
      <w:proofErr w:type="gramStart"/>
      <w:r w:rsidRPr="003E17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E17F6">
        <w:rPr>
          <w:rFonts w:ascii="Times New Roman" w:hAnsi="Times New Roman" w:cs="Times New Roman"/>
          <w:sz w:val="24"/>
          <w:szCs w:val="24"/>
        </w:rPr>
        <w:t xml:space="preserve"> по предмету с целью устранения пробелов по основным темам и разделам учебного материала, заполнению бланков регистрации и бланков ответов. </w:t>
      </w:r>
    </w:p>
    <w:p w:rsidR="00102DD0" w:rsidRPr="003E17F6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Заместителю директора по  УВР усилить </w:t>
      </w:r>
      <w:proofErr w:type="gramStart"/>
      <w:r w:rsidRPr="003E17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17F6">
        <w:rPr>
          <w:rFonts w:ascii="Times New Roman" w:hAnsi="Times New Roman" w:cs="Times New Roman"/>
          <w:sz w:val="24"/>
          <w:szCs w:val="24"/>
        </w:rPr>
        <w:t xml:space="preserve"> подготовкой выпускников 9 и 11 классов к государственной итоговой аттестации</w:t>
      </w:r>
    </w:p>
    <w:p w:rsidR="00102DD0" w:rsidRPr="003E17F6" w:rsidRDefault="00102DD0" w:rsidP="00102DD0">
      <w:pPr>
        <w:rPr>
          <w:rFonts w:ascii="Times New Roman" w:hAnsi="Times New Roman" w:cs="Times New Roman"/>
          <w:sz w:val="24"/>
          <w:szCs w:val="24"/>
        </w:rPr>
      </w:pPr>
    </w:p>
    <w:p w:rsidR="00102DD0" w:rsidRDefault="00102DD0" w:rsidP="00102DD0">
      <w:pPr>
        <w:rPr>
          <w:rFonts w:ascii="Times New Roman" w:hAnsi="Times New Roman" w:cs="Times New Roman"/>
          <w:b/>
          <w:sz w:val="24"/>
          <w:szCs w:val="24"/>
        </w:rPr>
      </w:pPr>
      <w:r w:rsidRPr="003E17F6">
        <w:rPr>
          <w:rFonts w:ascii="Times New Roman" w:hAnsi="Times New Roman" w:cs="Times New Roman"/>
          <w:sz w:val="24"/>
          <w:szCs w:val="24"/>
        </w:rPr>
        <w:t xml:space="preserve">Справку подготовила заместитель директора по УВР                               </w:t>
      </w:r>
      <w:proofErr w:type="spellStart"/>
      <w:r w:rsidRPr="003E17F6">
        <w:rPr>
          <w:rFonts w:ascii="Times New Roman" w:hAnsi="Times New Roman" w:cs="Times New Roman"/>
          <w:sz w:val="24"/>
          <w:szCs w:val="24"/>
        </w:rPr>
        <w:t>Абуева</w:t>
      </w:r>
      <w:proofErr w:type="spellEnd"/>
      <w:r w:rsidRPr="003E17F6"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102DD0" w:rsidRPr="00AA6E66" w:rsidRDefault="00102DD0" w:rsidP="00102DD0">
      <w:pPr>
        <w:rPr>
          <w:rFonts w:ascii="Times New Roman" w:hAnsi="Times New Roman" w:cs="Times New Roman"/>
          <w:sz w:val="24"/>
          <w:szCs w:val="24"/>
        </w:rPr>
      </w:pPr>
    </w:p>
    <w:p w:rsidR="00102DD0" w:rsidRPr="00AA6E66" w:rsidRDefault="00102DD0" w:rsidP="00102DD0">
      <w:pPr>
        <w:rPr>
          <w:rFonts w:ascii="Times New Roman" w:hAnsi="Times New Roman" w:cs="Times New Roman"/>
          <w:sz w:val="24"/>
          <w:szCs w:val="24"/>
        </w:rPr>
      </w:pPr>
    </w:p>
    <w:p w:rsidR="00DB7124" w:rsidRPr="00AA6E66" w:rsidRDefault="00DB7124" w:rsidP="00AA6E66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</w:p>
    <w:sectPr w:rsidR="00DB7124" w:rsidRPr="00AA6E66" w:rsidSect="008E5F6B">
      <w:pgSz w:w="16838" w:h="11906" w:orient="landscape"/>
      <w:pgMar w:top="426" w:right="2379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A0" w:rsidRDefault="00684BA0" w:rsidP="00A52094">
      <w:pPr>
        <w:spacing w:after="0" w:line="240" w:lineRule="auto"/>
      </w:pPr>
      <w:r>
        <w:separator/>
      </w:r>
    </w:p>
  </w:endnote>
  <w:endnote w:type="continuationSeparator" w:id="0">
    <w:p w:rsidR="00684BA0" w:rsidRDefault="00684BA0" w:rsidP="00A5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A0" w:rsidRDefault="00684BA0" w:rsidP="00A52094">
      <w:pPr>
        <w:spacing w:after="0" w:line="240" w:lineRule="auto"/>
      </w:pPr>
      <w:r>
        <w:separator/>
      </w:r>
    </w:p>
  </w:footnote>
  <w:footnote w:type="continuationSeparator" w:id="0">
    <w:p w:rsidR="00684BA0" w:rsidRDefault="00684BA0" w:rsidP="00A5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67745FAA"/>
    <w:lvl w:ilvl="0" w:tplc="79F66780">
      <w:start w:val="1"/>
      <w:numFmt w:val="bullet"/>
      <w:lvlText w:val=""/>
      <w:lvlJc w:val="left"/>
    </w:lvl>
    <w:lvl w:ilvl="1" w:tplc="FB126E2A">
      <w:numFmt w:val="decimal"/>
      <w:lvlText w:val=""/>
      <w:lvlJc w:val="left"/>
    </w:lvl>
    <w:lvl w:ilvl="2" w:tplc="DF30C12C">
      <w:numFmt w:val="decimal"/>
      <w:lvlText w:val=""/>
      <w:lvlJc w:val="left"/>
    </w:lvl>
    <w:lvl w:ilvl="3" w:tplc="32E86288">
      <w:numFmt w:val="decimal"/>
      <w:lvlText w:val=""/>
      <w:lvlJc w:val="left"/>
    </w:lvl>
    <w:lvl w:ilvl="4" w:tplc="6296B178">
      <w:numFmt w:val="decimal"/>
      <w:lvlText w:val=""/>
      <w:lvlJc w:val="left"/>
    </w:lvl>
    <w:lvl w:ilvl="5" w:tplc="BF98B65C">
      <w:numFmt w:val="decimal"/>
      <w:lvlText w:val=""/>
      <w:lvlJc w:val="left"/>
    </w:lvl>
    <w:lvl w:ilvl="6" w:tplc="5D86335E">
      <w:numFmt w:val="decimal"/>
      <w:lvlText w:val=""/>
      <w:lvlJc w:val="left"/>
    </w:lvl>
    <w:lvl w:ilvl="7" w:tplc="EA289852">
      <w:numFmt w:val="decimal"/>
      <w:lvlText w:val=""/>
      <w:lvlJc w:val="left"/>
    </w:lvl>
    <w:lvl w:ilvl="8" w:tplc="1B6433A8">
      <w:numFmt w:val="decimal"/>
      <w:lvlText w:val=""/>
      <w:lvlJc w:val="left"/>
    </w:lvl>
  </w:abstractNum>
  <w:abstractNum w:abstractNumId="1">
    <w:nsid w:val="000041BB"/>
    <w:multiLevelType w:val="hybridMultilevel"/>
    <w:tmpl w:val="E0F4B29A"/>
    <w:lvl w:ilvl="0" w:tplc="31C2555C">
      <w:start w:val="2"/>
      <w:numFmt w:val="decimal"/>
      <w:lvlText w:val="%1."/>
      <w:lvlJc w:val="left"/>
    </w:lvl>
    <w:lvl w:ilvl="1" w:tplc="30629BF0">
      <w:numFmt w:val="decimal"/>
      <w:lvlText w:val=""/>
      <w:lvlJc w:val="left"/>
    </w:lvl>
    <w:lvl w:ilvl="2" w:tplc="D52CB870">
      <w:numFmt w:val="decimal"/>
      <w:lvlText w:val=""/>
      <w:lvlJc w:val="left"/>
    </w:lvl>
    <w:lvl w:ilvl="3" w:tplc="19DC9026">
      <w:numFmt w:val="decimal"/>
      <w:lvlText w:val=""/>
      <w:lvlJc w:val="left"/>
    </w:lvl>
    <w:lvl w:ilvl="4" w:tplc="8166C08E">
      <w:numFmt w:val="decimal"/>
      <w:lvlText w:val=""/>
      <w:lvlJc w:val="left"/>
    </w:lvl>
    <w:lvl w:ilvl="5" w:tplc="AA56508E">
      <w:numFmt w:val="decimal"/>
      <w:lvlText w:val=""/>
      <w:lvlJc w:val="left"/>
    </w:lvl>
    <w:lvl w:ilvl="6" w:tplc="CBC49FC2">
      <w:numFmt w:val="decimal"/>
      <w:lvlText w:val=""/>
      <w:lvlJc w:val="left"/>
    </w:lvl>
    <w:lvl w:ilvl="7" w:tplc="6450B392">
      <w:numFmt w:val="decimal"/>
      <w:lvlText w:val=""/>
      <w:lvlJc w:val="left"/>
    </w:lvl>
    <w:lvl w:ilvl="8" w:tplc="91E8E6C2">
      <w:numFmt w:val="decimal"/>
      <w:lvlText w:val=""/>
      <w:lvlJc w:val="left"/>
    </w:lvl>
  </w:abstractNum>
  <w:abstractNum w:abstractNumId="2">
    <w:nsid w:val="00005AF1"/>
    <w:multiLevelType w:val="hybridMultilevel"/>
    <w:tmpl w:val="3D2AF50A"/>
    <w:lvl w:ilvl="0" w:tplc="29089AE8">
      <w:start w:val="1"/>
      <w:numFmt w:val="decimal"/>
      <w:lvlText w:val="%1."/>
      <w:lvlJc w:val="left"/>
    </w:lvl>
    <w:lvl w:ilvl="1" w:tplc="34FE5150">
      <w:numFmt w:val="decimal"/>
      <w:lvlText w:val=""/>
      <w:lvlJc w:val="left"/>
    </w:lvl>
    <w:lvl w:ilvl="2" w:tplc="C38ED78E">
      <w:numFmt w:val="decimal"/>
      <w:lvlText w:val=""/>
      <w:lvlJc w:val="left"/>
    </w:lvl>
    <w:lvl w:ilvl="3" w:tplc="21A29776">
      <w:numFmt w:val="decimal"/>
      <w:lvlText w:val=""/>
      <w:lvlJc w:val="left"/>
    </w:lvl>
    <w:lvl w:ilvl="4" w:tplc="EE34C2D0">
      <w:numFmt w:val="decimal"/>
      <w:lvlText w:val=""/>
      <w:lvlJc w:val="left"/>
    </w:lvl>
    <w:lvl w:ilvl="5" w:tplc="55C875E6">
      <w:numFmt w:val="decimal"/>
      <w:lvlText w:val=""/>
      <w:lvlJc w:val="left"/>
    </w:lvl>
    <w:lvl w:ilvl="6" w:tplc="7DDA73FE">
      <w:numFmt w:val="decimal"/>
      <w:lvlText w:val=""/>
      <w:lvlJc w:val="left"/>
    </w:lvl>
    <w:lvl w:ilvl="7" w:tplc="47B43700">
      <w:numFmt w:val="decimal"/>
      <w:lvlText w:val=""/>
      <w:lvlJc w:val="left"/>
    </w:lvl>
    <w:lvl w:ilvl="8" w:tplc="420877F8">
      <w:numFmt w:val="decimal"/>
      <w:lvlText w:val=""/>
      <w:lvlJc w:val="left"/>
    </w:lvl>
  </w:abstractNum>
  <w:abstractNum w:abstractNumId="3">
    <w:nsid w:val="115635FF"/>
    <w:multiLevelType w:val="multilevel"/>
    <w:tmpl w:val="115635FF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3B80"/>
    <w:multiLevelType w:val="multilevel"/>
    <w:tmpl w:val="1F4B3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31CC4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822D8"/>
    <w:multiLevelType w:val="multilevel"/>
    <w:tmpl w:val="2C3822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A86997A"/>
    <w:multiLevelType w:val="multilevel"/>
    <w:tmpl w:val="5A86997A"/>
    <w:lvl w:ilvl="0">
      <w:start w:val="1"/>
      <w:numFmt w:val="decimal"/>
      <w:lvlText w:val="%1."/>
      <w:lvlJc w:val="left"/>
      <w:pPr>
        <w:tabs>
          <w:tab w:val="left" w:pos="1480"/>
        </w:tabs>
        <w:ind w:left="148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CF"/>
    <w:rsid w:val="B3FF64C4"/>
    <w:rsid w:val="00051D99"/>
    <w:rsid w:val="00075F37"/>
    <w:rsid w:val="000D2715"/>
    <w:rsid w:val="000D7B66"/>
    <w:rsid w:val="000E6034"/>
    <w:rsid w:val="00102DD0"/>
    <w:rsid w:val="00107DE1"/>
    <w:rsid w:val="001443DF"/>
    <w:rsid w:val="001640BA"/>
    <w:rsid w:val="00183913"/>
    <w:rsid w:val="001A0401"/>
    <w:rsid w:val="001C0636"/>
    <w:rsid w:val="00222735"/>
    <w:rsid w:val="00261C59"/>
    <w:rsid w:val="00273DCE"/>
    <w:rsid w:val="00284EEF"/>
    <w:rsid w:val="00290121"/>
    <w:rsid w:val="00295CDB"/>
    <w:rsid w:val="002A0888"/>
    <w:rsid w:val="002B5943"/>
    <w:rsid w:val="002E0BA6"/>
    <w:rsid w:val="00312494"/>
    <w:rsid w:val="00353F5C"/>
    <w:rsid w:val="00370430"/>
    <w:rsid w:val="003B231A"/>
    <w:rsid w:val="003B6060"/>
    <w:rsid w:val="003C2D15"/>
    <w:rsid w:val="003D484E"/>
    <w:rsid w:val="003E17F6"/>
    <w:rsid w:val="003E486D"/>
    <w:rsid w:val="003F2CC2"/>
    <w:rsid w:val="0040567E"/>
    <w:rsid w:val="00424B08"/>
    <w:rsid w:val="00445D91"/>
    <w:rsid w:val="00465DF4"/>
    <w:rsid w:val="00480F2E"/>
    <w:rsid w:val="00482A2C"/>
    <w:rsid w:val="004A03C9"/>
    <w:rsid w:val="004A0EA5"/>
    <w:rsid w:val="004C2ECF"/>
    <w:rsid w:val="004E3856"/>
    <w:rsid w:val="004E404C"/>
    <w:rsid w:val="00510165"/>
    <w:rsid w:val="005200C2"/>
    <w:rsid w:val="005278A4"/>
    <w:rsid w:val="005427CD"/>
    <w:rsid w:val="005474C0"/>
    <w:rsid w:val="00573898"/>
    <w:rsid w:val="00576409"/>
    <w:rsid w:val="00584D25"/>
    <w:rsid w:val="00592DF3"/>
    <w:rsid w:val="005B1031"/>
    <w:rsid w:val="005D2BAF"/>
    <w:rsid w:val="005E3296"/>
    <w:rsid w:val="005F493A"/>
    <w:rsid w:val="0063064B"/>
    <w:rsid w:val="006637FB"/>
    <w:rsid w:val="00684BA0"/>
    <w:rsid w:val="0069226A"/>
    <w:rsid w:val="006973DD"/>
    <w:rsid w:val="006A3AB3"/>
    <w:rsid w:val="006B313D"/>
    <w:rsid w:val="006C5E4C"/>
    <w:rsid w:val="006D668C"/>
    <w:rsid w:val="00760F44"/>
    <w:rsid w:val="0076498B"/>
    <w:rsid w:val="00791028"/>
    <w:rsid w:val="007B5CFE"/>
    <w:rsid w:val="007B71C0"/>
    <w:rsid w:val="007D36BD"/>
    <w:rsid w:val="007F75F6"/>
    <w:rsid w:val="008038AE"/>
    <w:rsid w:val="00811153"/>
    <w:rsid w:val="00820543"/>
    <w:rsid w:val="00851C8F"/>
    <w:rsid w:val="008619D0"/>
    <w:rsid w:val="008C06C5"/>
    <w:rsid w:val="008C13E2"/>
    <w:rsid w:val="008E2771"/>
    <w:rsid w:val="008E5F6B"/>
    <w:rsid w:val="00900861"/>
    <w:rsid w:val="0091042D"/>
    <w:rsid w:val="009162DA"/>
    <w:rsid w:val="009249FB"/>
    <w:rsid w:val="0094132B"/>
    <w:rsid w:val="00960114"/>
    <w:rsid w:val="009B43CB"/>
    <w:rsid w:val="009E5255"/>
    <w:rsid w:val="009F60A3"/>
    <w:rsid w:val="00A3692C"/>
    <w:rsid w:val="00A40154"/>
    <w:rsid w:val="00A434B5"/>
    <w:rsid w:val="00A52094"/>
    <w:rsid w:val="00A66EF8"/>
    <w:rsid w:val="00AA6E66"/>
    <w:rsid w:val="00AD04C8"/>
    <w:rsid w:val="00AE78D2"/>
    <w:rsid w:val="00AF0B64"/>
    <w:rsid w:val="00B0640F"/>
    <w:rsid w:val="00B534E2"/>
    <w:rsid w:val="00B62F0F"/>
    <w:rsid w:val="00BB12E0"/>
    <w:rsid w:val="00BD5D6B"/>
    <w:rsid w:val="00BE6E45"/>
    <w:rsid w:val="00BF36BF"/>
    <w:rsid w:val="00BF5A32"/>
    <w:rsid w:val="00CB17C8"/>
    <w:rsid w:val="00CB4418"/>
    <w:rsid w:val="00CE70B9"/>
    <w:rsid w:val="00CF3583"/>
    <w:rsid w:val="00D04F3C"/>
    <w:rsid w:val="00D13719"/>
    <w:rsid w:val="00D42AB3"/>
    <w:rsid w:val="00D7110B"/>
    <w:rsid w:val="00DB4FFF"/>
    <w:rsid w:val="00DB7124"/>
    <w:rsid w:val="00DE26B6"/>
    <w:rsid w:val="00DF27E0"/>
    <w:rsid w:val="00DF54C7"/>
    <w:rsid w:val="00E07641"/>
    <w:rsid w:val="00E55708"/>
    <w:rsid w:val="00E6417F"/>
    <w:rsid w:val="00E96E56"/>
    <w:rsid w:val="00EB33C8"/>
    <w:rsid w:val="00EF107D"/>
    <w:rsid w:val="00EF62BE"/>
    <w:rsid w:val="00F37F17"/>
    <w:rsid w:val="00F720AE"/>
    <w:rsid w:val="00F935E0"/>
    <w:rsid w:val="00FA704B"/>
    <w:rsid w:val="00FB0524"/>
    <w:rsid w:val="00FC7113"/>
    <w:rsid w:val="00FE5420"/>
    <w:rsid w:val="77E3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pPr>
      <w:widowControl w:val="0"/>
      <w:shd w:val="clear" w:color="auto" w:fill="FFFFFF"/>
      <w:spacing w:after="0" w:line="322" w:lineRule="exact"/>
      <w:ind w:hanging="8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a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;Не полужирный"/>
    <w:basedOn w:val="a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">
    <w:name w:val="Основной текст (2) + 11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a0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F62BE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uiPriority w:val="1"/>
    <w:qFormat/>
    <w:rsid w:val="00FC7113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09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094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6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9D0"/>
    <w:rPr>
      <w:rFonts w:ascii="Tahoma" w:hAnsi="Tahoma" w:cs="Tahoma"/>
      <w:sz w:val="16"/>
      <w:szCs w:val="16"/>
      <w:lang w:eastAsia="en-US"/>
    </w:rPr>
  </w:style>
  <w:style w:type="table" w:customStyle="1" w:styleId="12">
    <w:name w:val="Сетка таблицы1"/>
    <w:basedOn w:val="a1"/>
    <w:next w:val="a5"/>
    <w:rsid w:val="006637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rsid w:val="009601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60F4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22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pPr>
      <w:widowControl w:val="0"/>
      <w:shd w:val="clear" w:color="auto" w:fill="FFFFFF"/>
      <w:spacing w:after="0" w:line="322" w:lineRule="exact"/>
      <w:ind w:hanging="8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a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;Не полужирный"/>
    <w:basedOn w:val="a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">
    <w:name w:val="Основной текст (2) + 11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a0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F62BE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uiPriority w:val="1"/>
    <w:qFormat/>
    <w:rsid w:val="00FC7113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09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094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6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9D0"/>
    <w:rPr>
      <w:rFonts w:ascii="Tahoma" w:hAnsi="Tahoma" w:cs="Tahoma"/>
      <w:sz w:val="16"/>
      <w:szCs w:val="16"/>
      <w:lang w:eastAsia="en-US"/>
    </w:rPr>
  </w:style>
  <w:style w:type="table" w:customStyle="1" w:styleId="12">
    <w:name w:val="Сетка таблицы1"/>
    <w:basedOn w:val="a1"/>
    <w:next w:val="a5"/>
    <w:rsid w:val="006637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rsid w:val="009601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60F4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22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A4B40-2F22-49E3-B8DC-2584C56C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44</cp:revision>
  <cp:lastPrinted>2018-05-12T09:40:00Z</cp:lastPrinted>
  <dcterms:created xsi:type="dcterms:W3CDTF">2018-02-16T14:26:00Z</dcterms:created>
  <dcterms:modified xsi:type="dcterms:W3CDTF">2019-01-19T08:09:00Z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